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8F3" w:rsidRPr="00F248F3" w:rsidRDefault="00F248F3" w:rsidP="00F248F3">
      <w:pPr>
        <w:shd w:val="clear" w:color="auto" w:fill="FFFFFF"/>
        <w:spacing w:after="0" w:line="240" w:lineRule="atLeast"/>
        <w:textAlignment w:val="baseline"/>
        <w:rPr>
          <w:rFonts w:ascii="Tahoma" w:eastAsia="Times New Roman" w:hAnsi="Tahoma" w:cs="Tahoma"/>
          <w:color w:val="808080"/>
          <w:sz w:val="48"/>
          <w:szCs w:val="48"/>
          <w:lang w:eastAsia="ru-RU"/>
        </w:rPr>
      </w:pPr>
      <w:r w:rsidRPr="00F248F3">
        <w:rPr>
          <w:rFonts w:ascii="Tahoma" w:eastAsia="Times New Roman" w:hAnsi="Tahoma" w:cs="Tahoma"/>
          <w:color w:val="808080"/>
          <w:sz w:val="48"/>
          <w:szCs w:val="48"/>
          <w:lang w:eastAsia="ru-RU"/>
        </w:rPr>
        <w:t>РБА Новости</w:t>
      </w:r>
    </w:p>
    <w:p w:rsidR="00F248F3" w:rsidRDefault="00F248F3" w:rsidP="00F248F3">
      <w:pPr>
        <w:shd w:val="clear" w:color="auto" w:fill="FFFFFF"/>
        <w:spacing w:after="0" w:line="240" w:lineRule="atLeast"/>
        <w:textAlignment w:val="baseline"/>
        <w:rPr>
          <w:rFonts w:ascii="Tahoma" w:eastAsia="Times New Roman" w:hAnsi="Tahoma" w:cs="Tahoma"/>
          <w:color w:val="808080"/>
          <w:sz w:val="18"/>
          <w:szCs w:val="18"/>
          <w:lang w:eastAsia="ru-RU"/>
        </w:rPr>
      </w:pPr>
    </w:p>
    <w:p w:rsidR="00F248F3" w:rsidRPr="00F248F3" w:rsidRDefault="00F248F3" w:rsidP="00F248F3">
      <w:pPr>
        <w:shd w:val="clear" w:color="auto" w:fill="FFFFFF"/>
        <w:spacing w:after="0" w:line="240" w:lineRule="atLeast"/>
        <w:textAlignment w:val="baseline"/>
        <w:rPr>
          <w:rFonts w:ascii="Tahoma" w:eastAsia="Times New Roman" w:hAnsi="Tahoma" w:cs="Tahoma"/>
          <w:color w:val="808080"/>
          <w:sz w:val="18"/>
          <w:szCs w:val="18"/>
          <w:lang w:eastAsia="ru-RU"/>
        </w:rPr>
      </w:pPr>
      <w:r w:rsidRPr="00F248F3">
        <w:rPr>
          <w:rFonts w:ascii="Tahoma" w:eastAsia="Times New Roman" w:hAnsi="Tahoma" w:cs="Tahoma"/>
          <w:color w:val="808080"/>
          <w:sz w:val="18"/>
          <w:szCs w:val="18"/>
          <w:lang w:eastAsia="ru-RU"/>
        </w:rPr>
        <w:t>23.10.2015 5:35</w:t>
      </w:r>
    </w:p>
    <w:p w:rsidR="00F248F3" w:rsidRDefault="00F248F3" w:rsidP="00F248F3">
      <w:pPr>
        <w:spacing w:after="120" w:line="240" w:lineRule="auto"/>
        <w:textAlignment w:val="baseline"/>
        <w:rPr>
          <w:rFonts w:ascii="inherit" w:eastAsia="Times New Roman" w:hAnsi="inherit" w:cs="Tahoma"/>
          <w:color w:val="808080"/>
          <w:sz w:val="18"/>
          <w:szCs w:val="18"/>
          <w:lang w:eastAsia="ru-RU"/>
        </w:rPr>
      </w:pPr>
    </w:p>
    <w:p w:rsidR="00F248F3" w:rsidRDefault="00F248F3" w:rsidP="00F248F3">
      <w:pPr>
        <w:pStyle w:val="1"/>
        <w:shd w:val="clear" w:color="auto" w:fill="FFFFFF"/>
        <w:spacing w:before="0" w:beforeAutospacing="0" w:after="0" w:afterAutospacing="0" w:line="270" w:lineRule="atLeast"/>
        <w:textAlignment w:val="baseline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Реклама-2015</w:t>
      </w:r>
    </w:p>
    <w:p w:rsidR="00F248F3" w:rsidRDefault="00F248F3" w:rsidP="00F248F3">
      <w:pPr>
        <w:spacing w:after="120" w:line="240" w:lineRule="auto"/>
        <w:textAlignment w:val="baseline"/>
        <w:rPr>
          <w:rFonts w:ascii="inherit" w:eastAsia="Times New Roman" w:hAnsi="inherit" w:cs="Times New Roman"/>
          <w:sz w:val="21"/>
          <w:szCs w:val="21"/>
          <w:lang w:eastAsia="ru-RU"/>
        </w:rPr>
      </w:pPr>
    </w:p>
    <w:p w:rsidR="00F248F3" w:rsidRPr="00F248F3" w:rsidRDefault="00F248F3" w:rsidP="00F248F3">
      <w:pPr>
        <w:spacing w:after="120" w:line="240" w:lineRule="auto"/>
        <w:textAlignment w:val="baseline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С 22 по 25 сентября в Центральном выставочном комплексе «Экспоцентр» проходила 23-я международная специализированная выставка «Реклама-2015».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Проект реализован Экспоцентром при поддержке Ассоциации коммуникационных агентств России (АКАР), Правительства Москвы, под патронатом Торгово-промышленной палаты РФ.</w:t>
      </w:r>
    </w:p>
    <w:p w:rsidR="00F248F3" w:rsidRPr="00F248F3" w:rsidRDefault="00F248F3" w:rsidP="00F248F3">
      <w:pPr>
        <w:spacing w:after="120" w:line="240" w:lineRule="auto"/>
        <w:textAlignment w:val="baseline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gram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В церемонии открытия выставки приняли участие председатель Комитета Государственной Думы Федерального Собрания Российской Федерации по информационной политике, информационным технологиям и связи Леонид Левин; советник Президента Торгово-промышленной палаты Российской Федерации Владимир Губернаторов; председатель Комитета ТПП РФ по предпринимательству в сфере рекламы, Вице-президент Ассоциации коммуникационных агентств России (АКАР) Сергей Пискарев; президент Российского отделения Международной рекламной ассоциации Борис Еремин;</w:t>
      </w:r>
      <w:proofErr w:type="gram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Первый заместитель генерального директора ЗАО «Экспоцентр» Николай Гусев.</w:t>
      </w:r>
    </w:p>
    <w:p w:rsidR="00F248F3" w:rsidRPr="00F248F3" w:rsidRDefault="00F248F3" w:rsidP="00F248F3">
      <w:pPr>
        <w:spacing w:after="120" w:line="240" w:lineRule="auto"/>
        <w:textAlignment w:val="baseline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Выступающие отметили, что выставка «Реклама» завоевала солидную репутацию и признание в рекламном мире.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Леонид Левин подчеркнул, что «отрасль последние 30 лет успешно развивается и выставка «Реклама» подтверждение этого, поскольку на ней демонстрируются лучшие компании и самые успешные проекты. Надеюсь и в дальнейшем, реклама будет одним из драйверов экономического развития страны».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 xml:space="preserve">«Выставка «Реклама» сыграла огромную роль в развитии рекламной отрасли,- подчеркнул в своём выступлении перед участниками и гостями смотра Владимир Губернаторов, — Она ежегодно показывала, как меняется реклама, </w:t>
      </w:r>
      <w:proofErr w:type="gram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от</w:t>
      </w:r>
      <w:proofErr w:type="gram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печатной и наружной до сегодняшней интернет-рекламы. Пока жива реклама, жив и российский бизнес».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По словам Сергея Пискарева, ««Реклама-2015» является одним из центральных отраслевых событий, всегда отличающихся серьезной экспозицией и хорошей профессиональной программой. Невзирая на кризис, она демонстрирует такой же высокий уровень и в этом году».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 xml:space="preserve">На стендах обширной и разноплановой экспозиции демонстрировались инновационные прорывные решения в таких важных сферах рекламной индустрии как наружная, световая реклама, рекламная полиграфия, производство и продвижение POS-материалов, </w:t>
      </w:r>
      <w:proofErr w:type="gram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бизнес-сувениры</w:t>
      </w:r>
      <w:proofErr w:type="gram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, интернет-реклама и многое другое.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В этом году в экспозиции главной выставки рекламной отрасли «Реклама-2015» на площади 3 671 кв. м были представлены яркие оригинальные стенды 205 компаний из 9 стран.</w:t>
      </w:r>
    </w:p>
    <w:p w:rsidR="00F248F3" w:rsidRDefault="00F248F3" w:rsidP="00F248F3">
      <w:pPr>
        <w:spacing w:after="0" w:line="240" w:lineRule="auto"/>
        <w:textAlignment w:val="baseline"/>
        <w:rPr>
          <w:rFonts w:ascii="inherit" w:eastAsia="Times New Roman" w:hAnsi="inherit" w:cs="Times New Roman"/>
          <w:noProof/>
          <w:color w:val="808080"/>
          <w:sz w:val="21"/>
          <w:szCs w:val="21"/>
          <w:bdr w:val="none" w:sz="0" w:space="0" w:color="auto" w:frame="1"/>
          <w:lang w:eastAsia="ru-RU"/>
        </w:rPr>
      </w:pP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Выставку посетили 9 605 специалистов, что составляет 86,1% от общего числа посетителей 11 153.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 xml:space="preserve">Новые виды рекламы, а также новые формы ее подачи показали лидеры мирового и отечественного рекламного рынка –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Roland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,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Ledu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,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NeoFoam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, BES REKLAM, «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ВеМаТек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», «Зенон», «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Инквин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», «Инфинити Принтер», «Русском», «Смарт-ТС», «Форда», «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Папиллонс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-Трейд», «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МирУпак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», «Диалог-Конверсия», «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Реклаб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», «Челленджер» и многие другие.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 xml:space="preserve">45 компаний приняли участие в этом уникальном проекте впервые. Новые участники использовали эффективность данной </w:t>
      </w:r>
      <w:proofErr w:type="gram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бизнес-площадки</w:t>
      </w:r>
      <w:proofErr w:type="gram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в непростой экономический период для удержания рынка, что стало подтверждением высокой репутации этого выставочного события. Среди дебютантов прошедшей выставки – «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Тейплайн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», «Технологии наружной рекламы», «Завод светодиодной продукции», «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Инитпресс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Диджитэл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», «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Биэлла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», «Командир Такси», «Салон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Принт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», «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Моторр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».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На «Рекламе-2015» продолжил работу проект «Экспоцентр» – за выставки без контрафакта», направленный на уменьшение случаев экспонирования контрафактных товаров на смотрах. На специальном стенде участников и посетителей выставки консультировали высокопрофессиональные юристы. Они информировали о существующей практике и возможностях правовой защиты объектов интеллектуальной собственности, оказывали юридическую помощь в поиске путей разрешения конфликтных ситуаций в области нарушения исключительных прав.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Кроме того, выставка позволила решить кадровые вопросы. ООО «Кадры малого и среднего бизнеса» организовали работу проектов «Биржа деловых контактов» и «Биржа контактов персон» — площадка для работодателей и соискателей вакансий.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 xml:space="preserve">Деловая программа выставки отразила все тенденции в области традиционной и инновационной 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lastRenderedPageBreak/>
        <w:t>рекламы.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 xml:space="preserve">В рамках выставки прошло заседание Комитета ТПП РФ по предпринимательству в сфере рекламы на тему: «Малый и средний бизнес в рекламной отрасли страны», </w:t>
      </w:r>
      <w:proofErr w:type="gram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организованное</w:t>
      </w:r>
      <w:proofErr w:type="gram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совместно с Ассоциацией Коммуникационных Агентств России (АКАР).</w:t>
      </w:r>
    </w:p>
    <w:p w:rsidR="00F248F3" w:rsidRPr="00F248F3" w:rsidRDefault="00F248F3" w:rsidP="00F248F3">
      <w:pPr>
        <w:spacing w:after="0" w:line="240" w:lineRule="auto"/>
        <w:textAlignment w:val="baseline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 xml:space="preserve">В заседании приняли участие советник Президента ТПП РФ Владимир Губернаторов, заместитель руководителя Федеральной антимонопольной службы РФ Андрей Кашеваров, заместитель руководителя Департамента СМИ и рекламы города Москвы Эдуард Королев, председатель Комитета ТПП РФ по предпринимательству в сфере рекламы, генеральный директор «Газпром-Медиа» Сергей Пискарев, президент Ассоциации Коммуникационных Агентств России Алексей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Ковылов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, директор по специальным проектам коммуникационного агентства «</w:t>
      </w:r>
      <w:proofErr w:type="gram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А</w:t>
      </w:r>
      <w:proofErr w:type="gram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GT», вице-президент АКАР, сопредседатель комиссии по GR Елена Решетова, руководители рекламных агентств и ассоциаций, члены Комитета.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proofErr w:type="gram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На заседании обсуждались актуальные вопросы развития рекламной отрасли страны, в том числе, вопросы минимизации влияния некоторых законопроектов на развитие отрасли, перспективы формирования конкурентоспособности российских рекламных агентств, как в России, так и за ее пределами, способы поддержки малого и среднего бизнеса отрасли за счет расширения возможностей их взаимодействия с государственными компаниями и компаниями с его частичным участием, а также — другие инструменты</w:t>
      </w:r>
      <w:proofErr w:type="gram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поддержки рекламного рынка.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Тема поддержки малого и среднего бизнеса в рекламной отрасли страны вызвало живую дискуссию и горячие споры о формах и методах возможной помощи со стороны государства. Руководители рекламных агентств говорили о необходимости предоставить малым рекламным предприятиям, которые даже не допускаются к конкурсам, равные права и возможности участия вместе с крупными рекламными агентствами.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Было принято решение продолжить обсуждение предложений по защите малого и среднего бизнеса для выработки единой позиции рекламной отрасли по этому вопросу на следующих заседаниях.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 xml:space="preserve">Центральным событием деловой программы 23-ой международной выставки «Реклама» стал IV форум «Рекламный марафон». Организатором выступила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Конгрессно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-Выставочная Компания «Империя», Генеральным партнером — ЦВК «Экспоцентр». Мероприятие прошло при поддержке Ассоциации коммуникационных агентств России (АКАР), Ассоциации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брендинговых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компаний России (АБКР), Российской ассоциации маркетинговых Услуг (РАМУ), Международной ассоциации маркетинга в ритейле POPAI (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Point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of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Purchase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Advertising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International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), журнала «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Наружка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».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В ходе трехдневного форума делегаты и спикеры пришли к выводу, что реклама в кризис просто обязана быть максимально дешевой и при этом предельно эффективной.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Что делать рекламодателю в период финансового кризиса? Если вкладывать средства в рекламу, то в какую? На эти и другие вопросы ответили ведущие рекламисты страны на IV форуме «Рекламный Марафон».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Форум объединил более сотни Звезд российской рекламы, которые провели семинары и мастер-классы. Более трети всех делегатов представляли российские регионы, что подчеркивает федеральный масштаб «Рекламного марафона».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Участниками этого важного события стали более 1000 рекламистов, маркетологов и управленцев в сфере продвижения. Из них — 400 участников мастер-классов и семинаров Звезд Российского Консалтинга; 300 посетителей конференции «Интернет-реклама»; 110 спикеров; 100 участников награждения призеров Конкурса наружной рекламы «ЗНАК»; 60 участников конференции Mail.ru.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 xml:space="preserve">Делегаты за три дня посетили выступления таких маститых экспертов, как: Николас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Коро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(RCB&amp;B), Илья Балахнин (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Paper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Planes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), Андрей Рукавишников (EBITDA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Marketing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), Дмитрии Кот (Агентство Продающих Текстов), Игорь Викентьев (ТРИЗ-ШАНС), Олег Макаров (Консалтинговая Группа «TCG»), Александр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Лигер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(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Vi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), Анатолий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Вассерман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На 42 сессиях «Рекламного марафона-2015» обсуждались почти все аспекты рекламной отрасли: от копирайтинга до ошибок при открытии собственного рекламного агентства.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 xml:space="preserve">Большую аудиторию собрало совместное выступление руководителя крупнейшей в России медиа компании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Vi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Александра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Лигера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и лидера в </w:t>
      </w:r>
      <w:proofErr w:type="gram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маркетинговом</w:t>
      </w:r>
      <w:proofErr w:type="gram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бизнес-консультировании Григория Трусова. В формате оживленной дискуссии они сравнили эффективность влияния телевизионной рекламы и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перфоманс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-маркетинга на кризисное мышление потребителя.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 xml:space="preserve">Небывалый ажиотаж среди делегатов в очередной раз вызвала сессия Николаса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Коро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и Виктории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Шиманской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, посвященная эмоциональному интеллекту. Во время своего доклада Николас рассказал, как правильно строить бренд таким образом, чтобы покупатель переплачивал за него с удовольствием.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 xml:space="preserve">Значимым событием форума стала выставка и конференция «Интернет-Реклама». В экспозиции приняли участие более 30 ведущих российских компаний, занимающихся </w:t>
      </w:r>
      <w:proofErr w:type="gram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интернет-продвижением</w:t>
      </w:r>
      <w:proofErr w:type="gram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. Делегаты договорились о контрактах на интернет-продвижение с такими участниками рынка, как СОМАР, TRINET, AGIMA,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SeoPult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и многими другими профессионалами.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Делегаты и спикеры «</w:t>
      </w:r>
      <w:proofErr w:type="gram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Интернет-рекламы</w:t>
      </w:r>
      <w:proofErr w:type="gram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» также обсудили последние тренды в веб-дизайне, особенности контекстной рекламы и раскрыли секреты поискового продвижения сайта. </w:t>
      </w:r>
      <w:proofErr w:type="gram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Интернет-специалисты</w:t>
      </w:r>
      <w:proofErr w:type="gram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рассказали об особенностях работы в условиях кризиса. Так Вадим Ширяев (СОМАР) заявил, что «в кризисное время лучше не уничтожать конкурентов, а искать способы объединения».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 xml:space="preserve">В рамках «Рекламного марафона» также прошло четыре конференции от стратегических партнеров форума и выставки: Ассоциации коммуникационных агентств России (АКАР), Ассоциации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брендинговых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компаний России (АБКР), Российской ассоциации маркетинговых Услуг (РАМУ), Международной ассоциации маркетинга в ритейле POPAI и журнала «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Наружка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».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 xml:space="preserve">Ассоциации АКАР, РАМУ и ЗАО «Экспоцентр» организовали на выставке работу секции «Событийный маркетинг 2.0: новые тренды и технологии». Выступившие эксперты рассказали о легендах и мифах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Red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Communication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Group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,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эффективизации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продвижения брендов через интеграции в мероприятия и проведение собственных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ивентов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, коммуникационной стратегии в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Event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-маркетинге, путях развития спортивного маркетинга в России, повышении эффективности события через синтез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Event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и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digital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маркетинг. С докладами выступили представители компаний RCG, SCG, SWIST, DPG,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Unionlinx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и клиентского сервиса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Re:evolution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 xml:space="preserve">Частью программы форума стала конференция «День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брендинга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», организованная Ассоциацией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брендинговых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компаний России, ЗАО «Экспоцентр».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На сессии «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Брендинг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на падающем рынке» были заслушаны выступления ведущих специалистов на темы: «Почему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брендинг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– единственный инструмент, </w:t>
      </w:r>
      <w:proofErr w:type="gram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что бы не</w:t>
      </w:r>
      <w:proofErr w:type="gram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сойти с дистанции досрочно», «40 правил взаимодействия бренда с основными потребительскими сегментами», «Как быстро и эффективно вывести торговую марку для замещения импортных товаров в России», «Как, используя инструменты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брендинга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, повысить эффективность продаж», «Ошибки современного российского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нейминга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или как не нужно называть».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 xml:space="preserve">Практическим решениям продажи продукции в сегменте FMCG была посвящена вторая сессия конференции. Темы докладов «Бренд, которому не изменят», «6 коммуникационных трендов в категории </w:t>
      </w:r>
      <w:proofErr w:type="gram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F</w:t>
      </w:r>
      <w:proofErr w:type="gram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МСG, которые реально работают», «Потребительский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брендинг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в ситуации снижения потребления», «Как производственной компании занять свое место на рынке?», «Где научиться строить бренды? Новости Высшей Школы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Брендинга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». Сократить текст, оставить основные секции конференции, передать их суть» вызвали большой интерес у посетителей мероприятия.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В рамках выставки «Реклама-2015» прошла конференция «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Off-trade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коммуникации: Битва за покупателя», организованная Международной ассоциацией маркетинга в ритейле POPAI, журналом «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Наружка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» и ЗАО «Экспоцентр».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proofErr w:type="gram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Руководители ведущих российских рекламно-производственных компаний «Дымшиц и партнеры» (Михаил Дымшиц), ССП «Про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Ма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» (Вероника Комарова),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e.Queo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(Алексей Вагин), «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Мираторг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» (Вадим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Чурсин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) поделились своими наблюдениями о том, Что влияет на время принятия решения о покупке в магазине?, Каковы системы удаленного и автоматизированного контроля полки?, рассказали о современных решениях и лучших практиках для эффективной коммуникации с трейдом, новом оптимизме, как основы</w:t>
      </w:r>
      <w:proofErr w:type="gram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маркетинговых коммуникаций супермаркета.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 xml:space="preserve">24 сентября в рамках выставки «Реклама-2015» состоялась церемония награждения 11-го конкурса визуальной рекламы «Знак». Главной целью конкурса является демонстрация лучших образцов работ из области рекламы, выявление наиболее творческих и перспективных компаний, создающих эффективные решения для заказчиков наружной рекламы (OOH —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out-of-home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advertising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) в целом. Организатор конкурса – издательство R&amp;D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Communications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при содействии ЗАО «Экспоцентр».</w:t>
      </w:r>
    </w:p>
    <w:p w:rsidR="00F248F3" w:rsidRPr="00F248F3" w:rsidRDefault="00F248F3" w:rsidP="00F248F3">
      <w:pPr>
        <w:spacing w:after="120" w:line="240" w:lineRule="auto"/>
        <w:textAlignment w:val="baseline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В этом году на конкурс было представлено 65 проектов из разных городов России.</w:t>
      </w:r>
    </w:p>
    <w:p w:rsidR="00F248F3" w:rsidRPr="00F248F3" w:rsidRDefault="00F248F3" w:rsidP="00F248F3">
      <w:pPr>
        <w:spacing w:after="120" w:line="240" w:lineRule="auto"/>
        <w:textAlignment w:val="baseline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Призеры конкурса визуальной рекламы «Знак-2015»:</w:t>
      </w:r>
    </w:p>
    <w:p w:rsidR="00F248F3" w:rsidRPr="00F248F3" w:rsidRDefault="00F248F3" w:rsidP="00F248F3">
      <w:pPr>
        <w:spacing w:after="120" w:line="240" w:lineRule="auto"/>
        <w:textAlignment w:val="baseline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Оформление торгово-развлекательных заведений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 xml:space="preserve">1-е место —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ActiveDesign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(Москва), 2-е место – «Точка» (Чайковский), 3-е место </w:t>
      </w:r>
      <w:proofErr w:type="gram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–«</w:t>
      </w:r>
      <w:proofErr w:type="gram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Фора-М» (Магнитогорск)</w:t>
      </w:r>
    </w:p>
    <w:p w:rsidR="00F248F3" w:rsidRPr="00F248F3" w:rsidRDefault="00F248F3" w:rsidP="00F248F3">
      <w:pPr>
        <w:spacing w:after="120" w:line="240" w:lineRule="auto"/>
        <w:textAlignment w:val="baseline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Оформление магазинов розничной торговли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1-е место — РПК «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ЛазерСтиль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», 3-е место – 3D-Logo (Московская область, Раменское), РА «Апельсин» (Иркутск)</w:t>
      </w:r>
    </w:p>
    <w:p w:rsidR="00F248F3" w:rsidRPr="00F248F3" w:rsidRDefault="00F248F3" w:rsidP="00F248F3">
      <w:pPr>
        <w:spacing w:after="120" w:line="240" w:lineRule="auto"/>
        <w:textAlignment w:val="baseline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Оформление предприятий общественного питания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1-е место — РПК «Индиго-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Сайнс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» (Краснодар), 2-е место – ROUTEMASTER ½, 3-е место — РПК «Индиго-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Сайнс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» (Краснодар)</w:t>
      </w:r>
    </w:p>
    <w:p w:rsidR="00F248F3" w:rsidRPr="00F248F3" w:rsidRDefault="00F248F3" w:rsidP="00F248F3">
      <w:pPr>
        <w:spacing w:after="120" w:line="240" w:lineRule="auto"/>
        <w:textAlignment w:val="baseline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Оформление предприятий сферы услуг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1-е место — РПК «Навигатор-стиль» (Москва)</w:t>
      </w:r>
    </w:p>
    <w:p w:rsidR="00F248F3" w:rsidRPr="00F248F3" w:rsidRDefault="00F248F3" w:rsidP="00F248F3">
      <w:pPr>
        <w:spacing w:after="120" w:line="240" w:lineRule="auto"/>
        <w:textAlignment w:val="baseline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Корпоративные вывески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1-е место — РА «Апельсин» (Иркутск), 2-е место – РПК «Навигатор-стиль» (Москва)</w:t>
      </w:r>
    </w:p>
    <w:p w:rsidR="00F248F3" w:rsidRPr="00F248F3" w:rsidRDefault="00F248F3" w:rsidP="00F248F3">
      <w:pPr>
        <w:spacing w:after="120" w:line="240" w:lineRule="auto"/>
        <w:textAlignment w:val="baseline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Стелы и крышные установки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2-е место – компания «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Айрсистем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» (Екатеринбург)</w:t>
      </w:r>
    </w:p>
    <w:p w:rsidR="00F248F3" w:rsidRPr="00F248F3" w:rsidRDefault="00F248F3" w:rsidP="00F248F3">
      <w:pPr>
        <w:spacing w:after="120" w:line="240" w:lineRule="auto"/>
        <w:textAlignment w:val="baseline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Праздничное городское оформление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1-е место – «Мастерская Городской Рекламы» (Москва), 2-е место – РПК «Алгоритм» (Москва), 3-е место – «В гостях у сказки», «Мастерская Городской Рекламы» (Москва)</w:t>
      </w:r>
    </w:p>
    <w:p w:rsidR="00F248F3" w:rsidRPr="00F248F3" w:rsidRDefault="00F248F3" w:rsidP="00F248F3">
      <w:pPr>
        <w:spacing w:after="120" w:line="240" w:lineRule="auto"/>
        <w:textAlignment w:val="baseline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Реклама на транспорте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 xml:space="preserve">1-е место —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Transit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media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group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(Москва), 2-е место –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Transit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media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group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(Москва), 3-е место — РА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Brandteam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 (Москва)</w:t>
      </w:r>
    </w:p>
    <w:p w:rsidR="00F248F3" w:rsidRPr="00F248F3" w:rsidRDefault="00F248F3" w:rsidP="00F248F3">
      <w:pPr>
        <w:spacing w:after="120" w:line="240" w:lineRule="auto"/>
        <w:textAlignment w:val="baseline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gram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 xml:space="preserve">Серийный </w:t>
      </w:r>
      <w:proofErr w:type="spellStart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рекламоноситель</w:t>
      </w:r>
      <w:proofErr w:type="spellEnd"/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1-е место — РА «ОКТАГОН» (Пятигорск), РПФ «ЛИМА» (Астрахань), 3-е место – РА «ОКТАГОН» (Пятигорск)</w:t>
      </w:r>
      <w:proofErr w:type="gramEnd"/>
    </w:p>
    <w:p w:rsidR="00F248F3" w:rsidRPr="00F248F3" w:rsidRDefault="00F248F3" w:rsidP="00F248F3">
      <w:pPr>
        <w:spacing w:after="120" w:line="240" w:lineRule="auto"/>
        <w:textAlignment w:val="baseline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Нетрадиционные средства и медиа в OOH</w:t>
      </w: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br/>
        <w:t>1-е место – «Мастерская Городской Рекламы» (Москва), 2-е место – 3D-Logo (Московская область, Раменское), 3-е место — INTELLIGENCE (Москва)</w:t>
      </w:r>
    </w:p>
    <w:p w:rsidR="00F248F3" w:rsidRPr="00F248F3" w:rsidRDefault="00F248F3" w:rsidP="00F248F3">
      <w:pPr>
        <w:spacing w:after="120" w:line="240" w:lineRule="auto"/>
        <w:textAlignment w:val="baseline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Приз зрительских симпатий — Мороженое «33 пингвина», РПФ «ЛИМА» (Астрахань).</w:t>
      </w:r>
    </w:p>
    <w:p w:rsidR="00F248F3" w:rsidRPr="00F248F3" w:rsidRDefault="00F248F3" w:rsidP="00F248F3">
      <w:pPr>
        <w:spacing w:after="120" w:line="240" w:lineRule="auto"/>
        <w:textAlignment w:val="baseline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248F3">
        <w:rPr>
          <w:rFonts w:ascii="inherit" w:eastAsia="Times New Roman" w:hAnsi="inherit" w:cs="Times New Roman"/>
          <w:sz w:val="21"/>
          <w:szCs w:val="21"/>
          <w:lang w:eastAsia="ru-RU"/>
        </w:rPr>
        <w:t>Ждем Вас на следующей 24-й международной специализированной выставке «Реклама-2016», которая пройдет с 28 по 30 сентября 2016 года в Центральном выставочном комплексе «Экспоцентр»!</w:t>
      </w:r>
    </w:p>
    <w:p w:rsidR="00E9044C" w:rsidRDefault="00E9044C"/>
    <w:p w:rsidR="00F248F3" w:rsidRDefault="00F248F3">
      <w:r w:rsidRPr="00F248F3">
        <w:t>http://rbanews.ru/reklama-2015-3/</w:t>
      </w:r>
      <w:bookmarkStart w:id="0" w:name="_GoBack"/>
      <w:bookmarkEnd w:id="0"/>
    </w:p>
    <w:sectPr w:rsidR="00F24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72361"/>
    <w:multiLevelType w:val="multilevel"/>
    <w:tmpl w:val="E55C8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7AD"/>
    <w:rsid w:val="001937AD"/>
    <w:rsid w:val="00E9044C"/>
    <w:rsid w:val="00F2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48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248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4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48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F248F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2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4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48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48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248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4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48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F248F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2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4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48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1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0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96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29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8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4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2126</Words>
  <Characters>12124</Characters>
  <Application>Microsoft Office Word</Application>
  <DocSecurity>0</DocSecurity>
  <Lines>101</Lines>
  <Paragraphs>28</Paragraphs>
  <ScaleCrop>false</ScaleCrop>
  <Company/>
  <LinksUpToDate>false</LinksUpToDate>
  <CharactersWithSpaces>14222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USR-SYS00329 (???)</dc:creator>
  <cp:keywords/>
  <dc:description/>
  <cp:lastModifiedBy>USR-SYS00329 (???)</cp:lastModifiedBy>
  <cp:revision>3</cp:revision>
  <dcterms:created xsi:type="dcterms:W3CDTF">2016-01-13T13:24:00Z</dcterms:created>
  <dcterms:modified xsi:type="dcterms:W3CDTF">2016-01-13T13:25:00Z</dcterms:modified>
</cp:coreProperties>
</file>